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8"/>
        </w:rPr>
      </w:pPr>
    </w:p>
    <w:p>
      <w:pPr>
        <w:jc w:val="center"/>
        <w:rPr>
          <w:rFonts w:ascii="黑体" w:hAnsi="黑体" w:eastAsia="黑体"/>
          <w:b/>
          <w:sz w:val="28"/>
        </w:rPr>
      </w:pPr>
      <w:r>
        <w:rPr>
          <w:rFonts w:hint="eastAsia" w:ascii="黑体" w:hAnsi="黑体" w:eastAsia="黑体"/>
          <w:b/>
          <w:sz w:val="28"/>
        </w:rPr>
        <w:t>湖北商贸学院202</w:t>
      </w:r>
      <w:r>
        <w:rPr>
          <w:rFonts w:hint="eastAsia" w:ascii="黑体" w:hAnsi="黑体" w:eastAsia="黑体"/>
          <w:b/>
          <w:sz w:val="28"/>
          <w:lang w:val="en-US" w:eastAsia="zh-CN"/>
        </w:rPr>
        <w:t>2</w:t>
      </w:r>
      <w:r>
        <w:rPr>
          <w:rFonts w:hint="eastAsia" w:ascii="黑体" w:hAnsi="黑体" w:eastAsia="黑体"/>
          <w:b/>
          <w:sz w:val="28"/>
        </w:rPr>
        <w:t>年普通专升本考试</w:t>
      </w:r>
    </w:p>
    <w:p>
      <w:pPr>
        <w:jc w:val="center"/>
        <w:rPr>
          <w:rFonts w:ascii="黑体" w:hAnsi="黑体" w:eastAsia="黑体"/>
          <w:b/>
          <w:sz w:val="28"/>
        </w:rPr>
      </w:pPr>
      <w:r>
        <w:rPr>
          <w:rFonts w:hint="eastAsia" w:ascii="黑体" w:hAnsi="黑体" w:eastAsia="黑体"/>
          <w:b/>
          <w:sz w:val="28"/>
        </w:rPr>
        <w:t>《管理学》</w:t>
      </w:r>
      <w:r>
        <w:rPr>
          <w:rFonts w:hint="eastAsia" w:ascii="黑体" w:hAnsi="黑体" w:eastAsia="黑体"/>
          <w:b/>
          <w:sz w:val="28"/>
          <w:lang w:val="en-US" w:eastAsia="zh-CN"/>
        </w:rPr>
        <w:t>课程</w:t>
      </w:r>
      <w:r>
        <w:rPr>
          <w:rFonts w:hint="eastAsia" w:ascii="黑体" w:hAnsi="黑体" w:eastAsia="黑体"/>
          <w:b/>
          <w:sz w:val="28"/>
        </w:rPr>
        <w:t>考试大纲</w:t>
      </w:r>
    </w:p>
    <w:p>
      <w:pPr>
        <w:jc w:val="center"/>
        <w:rPr>
          <w:rFonts w:ascii="Times New Roman" w:hAnsi="Times New Roman"/>
          <w:b/>
          <w:bCs/>
          <w:szCs w:val="21"/>
        </w:rPr>
      </w:pPr>
    </w:p>
    <w:p>
      <w:pPr>
        <w:spacing w:line="400" w:lineRule="exact"/>
        <w:ind w:firstLine="422" w:firstLineChars="200"/>
        <w:jc w:val="left"/>
        <w:rPr>
          <w:rFonts w:ascii="宋体" w:hAnsi="宋体"/>
          <w:b/>
          <w:szCs w:val="21"/>
        </w:rPr>
      </w:pPr>
      <w:r>
        <w:rPr>
          <w:rFonts w:hint="eastAsia" w:ascii="宋体" w:hAnsi="宋体"/>
          <w:b/>
          <w:szCs w:val="21"/>
        </w:rPr>
        <w:t>一、考试目的</w:t>
      </w:r>
    </w:p>
    <w:p>
      <w:pPr>
        <w:spacing w:line="400" w:lineRule="exact"/>
        <w:ind w:firstLine="420" w:firstLineChars="200"/>
        <w:jc w:val="left"/>
        <w:rPr>
          <w:rFonts w:ascii="宋体" w:hAnsi="宋体"/>
          <w:szCs w:val="21"/>
        </w:rPr>
      </w:pPr>
      <w:r>
        <w:rPr>
          <w:rFonts w:hint="eastAsia" w:ascii="宋体" w:hAnsi="宋体"/>
          <w:color w:val="000000"/>
          <w:szCs w:val="21"/>
          <w:shd w:val="clear" w:color="auto" w:fill="FFFFFF"/>
        </w:rPr>
        <w:t>专升本考试是考核学生是否达到了升入本科继续学习的要求而进行的选拔性功能的考试。本</w:t>
      </w:r>
      <w:r>
        <w:rPr>
          <w:rFonts w:hint="eastAsia" w:ascii="宋体" w:hAnsi="宋体"/>
          <w:szCs w:val="21"/>
        </w:rPr>
        <w:t>课程是以管理学的基本理论和知识为基础，测试考生在掌握管理学基础理论知识和应用方面是否具有本科学习的能力。</w:t>
      </w:r>
    </w:p>
    <w:p>
      <w:pPr>
        <w:spacing w:line="400" w:lineRule="exact"/>
        <w:ind w:firstLine="420" w:firstLineChars="200"/>
        <w:jc w:val="left"/>
        <w:rPr>
          <w:rFonts w:ascii="宋体" w:hAnsi="宋体"/>
          <w:szCs w:val="21"/>
        </w:rPr>
      </w:pPr>
    </w:p>
    <w:p>
      <w:pPr>
        <w:spacing w:line="400" w:lineRule="exact"/>
        <w:ind w:firstLine="480" w:firstLineChars="200"/>
        <w:jc w:val="left"/>
        <w:rPr>
          <w:rFonts w:ascii="宋体" w:hAnsi="宋体"/>
          <w:b/>
          <w:szCs w:val="21"/>
        </w:rPr>
      </w:pPr>
      <w:r>
        <w:rPr>
          <w:rFonts w:ascii="宋体" w:hAnsi="宋体" w:eastAsia="宋体" w:cs="宋体"/>
          <w:sz w:val="24"/>
          <w:szCs w:val="24"/>
        </w:rPr>
        <w:pict>
          <v:shape id="_x0000_s1026" o:spid="_x0000_s1026" o:spt="75" alt="IMG_256" type="#_x0000_t75" style="position:absolute;left:0pt;margin-left:208.55pt;margin-top:16.65pt;height:252.35pt;width:238.8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r>
        <w:rPr>
          <w:rFonts w:hint="eastAsia" w:ascii="宋体" w:hAnsi="宋体"/>
          <w:b/>
          <w:szCs w:val="21"/>
        </w:rPr>
        <w:t>二、适用专业</w:t>
      </w:r>
    </w:p>
    <w:p>
      <w:pPr>
        <w:spacing w:line="400" w:lineRule="exact"/>
        <w:ind w:firstLine="420" w:firstLineChars="200"/>
        <w:jc w:val="left"/>
        <w:rPr>
          <w:rFonts w:ascii="宋体" w:hAnsi="宋体"/>
          <w:color w:val="000000"/>
          <w:szCs w:val="21"/>
        </w:rPr>
      </w:pPr>
      <w:r>
        <w:rPr>
          <w:rFonts w:hint="eastAsia" w:ascii="宋体" w:hAnsi="宋体"/>
          <w:szCs w:val="21"/>
        </w:rPr>
        <w:t>电子商务专业</w:t>
      </w:r>
      <w:r>
        <w:rPr>
          <w:rFonts w:hint="eastAsia" w:ascii="宋体" w:hAnsi="宋体"/>
          <w:szCs w:val="21"/>
          <w:lang w:eastAsia="zh-CN"/>
        </w:rPr>
        <w:t>、</w:t>
      </w:r>
      <w:r>
        <w:rPr>
          <w:rFonts w:hint="eastAsia" w:ascii="宋体" w:hAnsi="宋体"/>
          <w:color w:val="000000"/>
          <w:szCs w:val="21"/>
        </w:rPr>
        <w:t>市场营销专业</w:t>
      </w:r>
    </w:p>
    <w:p>
      <w:pPr>
        <w:spacing w:line="400" w:lineRule="exact"/>
        <w:ind w:firstLine="422" w:firstLineChars="200"/>
        <w:jc w:val="left"/>
        <w:rPr>
          <w:rFonts w:hint="eastAsia" w:ascii="宋体" w:hAnsi="宋体"/>
          <w:b/>
          <w:szCs w:val="21"/>
        </w:rPr>
      </w:pPr>
    </w:p>
    <w:p>
      <w:pPr>
        <w:spacing w:line="400" w:lineRule="exact"/>
        <w:ind w:firstLine="422" w:firstLineChars="200"/>
        <w:jc w:val="left"/>
        <w:rPr>
          <w:rFonts w:ascii="宋体" w:hAnsi="宋体"/>
          <w:b/>
          <w:szCs w:val="21"/>
        </w:rPr>
      </w:pPr>
      <w:r>
        <w:rPr>
          <w:rFonts w:hint="eastAsia" w:ascii="宋体" w:hAnsi="宋体"/>
          <w:b/>
          <w:szCs w:val="21"/>
        </w:rPr>
        <w:t>三、参考教材</w:t>
      </w:r>
    </w:p>
    <w:p>
      <w:pPr>
        <w:spacing w:line="400" w:lineRule="exact"/>
        <w:ind w:firstLine="630" w:firstLineChars="300"/>
        <w:jc w:val="left"/>
        <w:rPr>
          <w:rFonts w:hint="eastAsia" w:ascii="宋体" w:hAnsi="宋体"/>
          <w:szCs w:val="21"/>
        </w:rPr>
      </w:pPr>
      <w:r>
        <w:rPr>
          <w:rFonts w:hint="eastAsia" w:ascii="宋体" w:hAnsi="宋体"/>
          <w:szCs w:val="21"/>
        </w:rPr>
        <w:t>《管理学》. 管理学编写组.高等教育出版社.</w:t>
      </w:r>
      <w:r>
        <w:rPr>
          <w:rFonts w:ascii="宋体" w:hAnsi="宋体"/>
          <w:szCs w:val="21"/>
        </w:rPr>
        <w:t>201</w:t>
      </w:r>
      <w:r>
        <w:rPr>
          <w:rFonts w:hint="eastAsia" w:ascii="宋体" w:hAnsi="宋体"/>
          <w:szCs w:val="21"/>
        </w:rPr>
        <w:t>9年1月.</w:t>
      </w:r>
    </w:p>
    <w:p>
      <w:pPr>
        <w:spacing w:line="400" w:lineRule="exact"/>
        <w:ind w:firstLine="420" w:firstLineChars="200"/>
        <w:jc w:val="left"/>
        <w:rPr>
          <w:rFonts w:ascii="宋体" w:hAnsi="宋体"/>
          <w:szCs w:val="21"/>
        </w:rPr>
      </w:pPr>
      <w:bookmarkStart w:id="0" w:name="_GoBack"/>
      <w:bookmarkEnd w:id="0"/>
    </w:p>
    <w:p>
      <w:pPr>
        <w:spacing w:line="400" w:lineRule="exact"/>
        <w:ind w:firstLine="422" w:firstLineChars="200"/>
        <w:jc w:val="left"/>
        <w:rPr>
          <w:rFonts w:ascii="宋体" w:hAnsi="宋体"/>
          <w:b/>
          <w:szCs w:val="21"/>
        </w:rPr>
      </w:pPr>
      <w:r>
        <w:rPr>
          <w:rFonts w:hint="eastAsia" w:ascii="宋体" w:hAnsi="宋体"/>
          <w:b/>
          <w:szCs w:val="21"/>
        </w:rPr>
        <w:t>四、考试内容</w:t>
      </w:r>
    </w:p>
    <w:p>
      <w:pPr>
        <w:widowControl/>
        <w:spacing w:line="400" w:lineRule="exact"/>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（一）总论</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 xml:space="preserve"> </w:t>
      </w:r>
      <w:r>
        <w:rPr>
          <w:rFonts w:hint="eastAsia" w:ascii="宋体" w:hAnsi="宋体"/>
          <w:szCs w:val="21"/>
        </w:rPr>
        <w:t>掌握管理基本概念</w:t>
      </w:r>
      <w:r>
        <w:rPr>
          <w:rFonts w:hint="eastAsia" w:ascii="宋体" w:hAnsi="宋体"/>
          <w:szCs w:val="21"/>
          <w:lang w:val="en-US" w:eastAsia="zh-CN"/>
        </w:rPr>
        <w:t>和</w:t>
      </w:r>
      <w:r>
        <w:rPr>
          <w:rFonts w:hint="eastAsia" w:ascii="宋体" w:hAnsi="宋体"/>
          <w:szCs w:val="21"/>
        </w:rPr>
        <w:t>管理的职能。</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 xml:space="preserve"> </w:t>
      </w:r>
      <w:r>
        <w:rPr>
          <w:rFonts w:hint="eastAsia"/>
        </w:rPr>
        <w:t>理解管理的本质</w:t>
      </w:r>
      <w:r>
        <w:rPr>
          <w:rFonts w:hint="eastAsia"/>
          <w:lang w:val="en-US" w:eastAsia="zh-CN"/>
        </w:rPr>
        <w:t>、管理的基本原理和基本方法</w:t>
      </w:r>
      <w:r>
        <w:rPr>
          <w:rFonts w:hint="eastAsia"/>
        </w:rPr>
        <w:t>。</w:t>
      </w:r>
    </w:p>
    <w:p>
      <w:pPr>
        <w:spacing w:line="400" w:lineRule="exact"/>
        <w:ind w:firstLine="420" w:firstLineChars="200"/>
      </w:pPr>
      <w:r>
        <w:rPr>
          <w:rFonts w:hint="eastAsia" w:ascii="宋体" w:hAnsi="宋体" w:cs="宋体"/>
          <w:color w:val="000000"/>
          <w:kern w:val="0"/>
          <w:szCs w:val="21"/>
        </w:rPr>
        <w:t>3. 掌握</w:t>
      </w:r>
      <w:r>
        <w:rPr>
          <w:rFonts w:eastAsiaTheme="minorEastAsia"/>
          <w:color w:val="000000"/>
          <w:kern w:val="0"/>
          <w:szCs w:val="21"/>
        </w:rPr>
        <w:t>古典管理理论产生和发展的历史背景</w:t>
      </w:r>
      <w:r>
        <w:rPr>
          <w:rFonts w:hint="eastAsia"/>
        </w:rPr>
        <w:t>。</w:t>
      </w:r>
    </w:p>
    <w:p>
      <w:pPr>
        <w:widowControl/>
        <w:spacing w:line="400" w:lineRule="exact"/>
        <w:ind w:firstLine="422" w:firstLineChars="200"/>
        <w:jc w:val="left"/>
        <w:rPr>
          <w:rFonts w:ascii="宋体" w:hAnsi="宋体" w:cs="宋体"/>
          <w:b/>
          <w:color w:val="000000"/>
          <w:kern w:val="0"/>
          <w:szCs w:val="21"/>
        </w:rPr>
      </w:pPr>
      <w:r>
        <w:rPr>
          <w:rFonts w:hint="eastAsia" w:ascii="宋体" w:hAnsi="宋体" w:cs="宋体"/>
          <w:b/>
          <w:color w:val="000000"/>
          <w:kern w:val="0"/>
          <w:szCs w:val="21"/>
        </w:rPr>
        <w:t>（二）决策</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 xml:space="preserve"> 掌握决策的定义、原则、依据和相关决策理论</w:t>
      </w:r>
      <w:r>
        <w:rPr>
          <w:rFonts w:hint="eastAsia"/>
          <w:spacing w:val="-9"/>
        </w:rPr>
        <w:t>。</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w:t>
      </w:r>
      <w:r>
        <w:rPr>
          <w:rFonts w:ascii="宋体" w:hAnsi="宋体" w:cs="宋体"/>
          <w:color w:val="000000"/>
          <w:kern w:val="0"/>
          <w:szCs w:val="21"/>
        </w:rPr>
        <w:t xml:space="preserve"> </w:t>
      </w:r>
      <w:r>
        <w:rPr>
          <w:rFonts w:hint="eastAsia" w:ascii="宋体" w:hAnsi="宋体" w:cs="宋体"/>
          <w:color w:val="000000"/>
          <w:kern w:val="0"/>
          <w:szCs w:val="21"/>
        </w:rPr>
        <w:t>掌握决策过程、决策的影响因素和决策方法。</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 xml:space="preserve"> 理解</w:t>
      </w:r>
      <w:r>
        <w:rPr>
          <w:rFonts w:eastAsiaTheme="minorEastAsia"/>
          <w:color w:val="000000"/>
          <w:kern w:val="0"/>
          <w:szCs w:val="21"/>
        </w:rPr>
        <w:t>波特竞争性环境分析法、SWOT环境分析法，</w:t>
      </w:r>
      <w:r>
        <w:rPr>
          <w:rFonts w:hint="eastAsia" w:eastAsiaTheme="minorEastAsia"/>
          <w:color w:val="000000"/>
          <w:szCs w:val="21"/>
        </w:rPr>
        <w:t>决策树法</w:t>
      </w:r>
      <w:r>
        <w:rPr>
          <w:rFonts w:hint="eastAsia" w:eastAsiaTheme="minorEastAsia"/>
          <w:color w:val="000000"/>
          <w:szCs w:val="21"/>
          <w:lang w:val="en-US" w:eastAsia="zh-CN"/>
        </w:rPr>
        <w:t>和</w:t>
      </w:r>
      <w:r>
        <w:rPr>
          <w:rFonts w:hint="eastAsia" w:eastAsiaTheme="minorEastAsia"/>
          <w:color w:val="000000"/>
          <w:szCs w:val="21"/>
        </w:rPr>
        <w:t>不确定型决策法</w:t>
      </w:r>
      <w:r>
        <w:rPr>
          <w:rFonts w:hint="eastAsia" w:eastAsiaTheme="minorEastAsia"/>
          <w:color w:val="000000"/>
          <w:kern w:val="0"/>
          <w:szCs w:val="21"/>
        </w:rPr>
        <w:t>。</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4. 掌握计划的概念、性质、类型</w:t>
      </w:r>
      <w:r>
        <w:rPr>
          <w:rFonts w:hint="eastAsia" w:ascii="宋体" w:hAnsi="宋体" w:cs="宋体"/>
          <w:color w:val="000000"/>
          <w:kern w:val="0"/>
          <w:szCs w:val="21"/>
          <w:lang w:val="en-US" w:eastAsia="zh-CN"/>
        </w:rPr>
        <w:t>和</w:t>
      </w:r>
      <w:r>
        <w:rPr>
          <w:rFonts w:hint="eastAsia" w:ascii="宋体" w:hAnsi="宋体" w:cs="宋体"/>
          <w:color w:val="000000"/>
          <w:kern w:val="0"/>
          <w:szCs w:val="21"/>
        </w:rPr>
        <w:t>计划的编制过程。</w:t>
      </w:r>
    </w:p>
    <w:p>
      <w:pPr>
        <w:widowControl/>
        <w:spacing w:line="40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5. 理解目标管理</w:t>
      </w:r>
      <w:r>
        <w:rPr>
          <w:rFonts w:ascii="宋体" w:hAnsi="宋体" w:cs="宋体"/>
          <w:color w:val="000000"/>
          <w:kern w:val="0"/>
          <w:szCs w:val="21"/>
        </w:rPr>
        <w:t>、</w:t>
      </w:r>
      <w:r>
        <w:rPr>
          <w:rFonts w:hint="eastAsia" w:ascii="宋体" w:hAnsi="宋体" w:cs="宋体"/>
          <w:color w:val="000000"/>
          <w:kern w:val="0"/>
          <w:szCs w:val="21"/>
        </w:rPr>
        <w:t>PDCA循环。</w:t>
      </w:r>
    </w:p>
    <w:p>
      <w:pPr>
        <w:spacing w:line="400" w:lineRule="exact"/>
        <w:ind w:firstLine="422" w:firstLineChars="200"/>
        <w:jc w:val="left"/>
        <w:rPr>
          <w:rFonts w:ascii="宋体" w:hAnsi="宋体"/>
          <w:b/>
          <w:szCs w:val="21"/>
        </w:rPr>
      </w:pPr>
      <w:r>
        <w:rPr>
          <w:rFonts w:hint="eastAsia" w:ascii="宋体" w:hAnsi="宋体"/>
          <w:b/>
          <w:szCs w:val="21"/>
        </w:rPr>
        <w:t>（三）组织</w:t>
      </w:r>
    </w:p>
    <w:p>
      <w:pPr>
        <w:spacing w:line="400" w:lineRule="exact"/>
        <w:ind w:firstLine="420" w:firstLineChars="200"/>
        <w:jc w:val="left"/>
        <w:rPr>
          <w:rFonts w:ascii="宋体" w:hAnsi="宋体"/>
          <w:szCs w:val="21"/>
        </w:rPr>
      </w:pPr>
      <w:r>
        <w:rPr>
          <w:rFonts w:hint="eastAsia" w:ascii="宋体" w:hAnsi="宋体"/>
          <w:szCs w:val="21"/>
        </w:rPr>
        <w:t>1.</w:t>
      </w:r>
      <w:r>
        <w:rPr>
          <w:rFonts w:ascii="宋体" w:hAnsi="宋体"/>
          <w:szCs w:val="21"/>
        </w:rPr>
        <w:t xml:space="preserve"> 掌握</w:t>
      </w:r>
      <w:r>
        <w:t>组织的定义、组织设计的必要性</w:t>
      </w:r>
      <w:r>
        <w:rPr>
          <w:rFonts w:hint="eastAsia"/>
        </w:rPr>
        <w:t>；</w:t>
      </w:r>
      <w:r>
        <w:t>组织设计的任务、基本原则以及影响组织设计的因素</w:t>
      </w:r>
      <w:r>
        <w:rPr>
          <w:rFonts w:hint="eastAsia"/>
        </w:rPr>
        <w:t>。</w:t>
      </w:r>
    </w:p>
    <w:p>
      <w:pPr>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 xml:space="preserve"> </w:t>
      </w:r>
      <w:r>
        <w:rPr>
          <w:rFonts w:hint="eastAsia" w:ascii="宋体" w:hAnsi="宋体"/>
          <w:szCs w:val="21"/>
        </w:rPr>
        <w:t>理解组织层级和管理幅度的关系；基本的组织结构形式及其优缺点；正式组织和非正式组织的整合。</w:t>
      </w:r>
    </w:p>
    <w:p>
      <w:pPr>
        <w:spacing w:line="400" w:lineRule="exact"/>
        <w:ind w:firstLine="420" w:firstLineChars="200"/>
        <w:jc w:val="left"/>
        <w:rPr>
          <w:rFonts w:hint="eastAsia" w:ascii="宋体" w:hAnsi="宋体" w:eastAsiaTheme="minorEastAsia"/>
          <w:szCs w:val="21"/>
          <w:lang w:eastAsia="zh-CN"/>
        </w:rPr>
      </w:pPr>
      <w:r>
        <w:rPr>
          <w:rFonts w:hint="eastAsia" w:ascii="宋体" w:hAnsi="宋体"/>
          <w:szCs w:val="21"/>
        </w:rPr>
        <w:t>3.</w:t>
      </w:r>
      <w:r>
        <w:rPr>
          <w:rFonts w:ascii="宋体" w:hAnsi="宋体"/>
          <w:szCs w:val="21"/>
        </w:rPr>
        <w:t xml:space="preserve"> 掌握</w:t>
      </w:r>
      <w:r>
        <w:rPr>
          <w:rFonts w:eastAsiaTheme="minorEastAsia"/>
          <w:color w:val="000000"/>
          <w:kern w:val="0"/>
          <w:szCs w:val="21"/>
        </w:rPr>
        <w:t>人员配备的任务、工作内容和人员来源</w:t>
      </w:r>
      <w:r>
        <w:rPr>
          <w:rFonts w:hint="eastAsia" w:eastAsiaTheme="minorEastAsia"/>
          <w:color w:val="000000"/>
          <w:kern w:val="0"/>
          <w:szCs w:val="21"/>
          <w:lang w:eastAsia="zh-CN"/>
        </w:rPr>
        <w:t>；</w:t>
      </w:r>
      <w:r>
        <w:rPr>
          <w:rFonts w:eastAsiaTheme="minorEastAsia"/>
          <w:color w:val="000000"/>
          <w:kern w:val="0"/>
          <w:szCs w:val="21"/>
        </w:rPr>
        <w:t>人员录用的流程和方法</w:t>
      </w:r>
      <w:r>
        <w:rPr>
          <w:rFonts w:hint="eastAsia" w:eastAsiaTheme="minorEastAsia"/>
          <w:color w:val="000000"/>
          <w:kern w:val="0"/>
          <w:szCs w:val="21"/>
          <w:lang w:eastAsia="zh-CN"/>
        </w:rPr>
        <w:t>；</w:t>
      </w:r>
      <w:r>
        <w:rPr>
          <w:rFonts w:eastAsiaTheme="minorEastAsia"/>
          <w:color w:val="000000"/>
          <w:kern w:val="0"/>
          <w:szCs w:val="21"/>
        </w:rPr>
        <w:t>人员配备的原则</w:t>
      </w:r>
      <w:r>
        <w:rPr>
          <w:rFonts w:hint="eastAsia" w:eastAsiaTheme="minorEastAsia"/>
          <w:color w:val="000000"/>
          <w:kern w:val="0"/>
          <w:szCs w:val="21"/>
          <w:lang w:eastAsia="zh-CN"/>
        </w:rPr>
        <w:t>。</w:t>
      </w:r>
    </w:p>
    <w:p>
      <w:pPr>
        <w:spacing w:line="400" w:lineRule="exact"/>
        <w:ind w:firstLine="470"/>
        <w:jc w:val="left"/>
        <w:rPr>
          <w:rFonts w:ascii="宋体" w:hAnsi="宋体"/>
          <w:szCs w:val="21"/>
        </w:rPr>
      </w:pPr>
      <w:r>
        <w:rPr>
          <w:rFonts w:hint="eastAsia" w:ascii="宋体" w:hAnsi="宋体"/>
          <w:szCs w:val="21"/>
        </w:rPr>
        <w:t>4.</w:t>
      </w:r>
      <w:r>
        <w:rPr>
          <w:rFonts w:ascii="宋体" w:hAnsi="宋体"/>
          <w:szCs w:val="21"/>
        </w:rPr>
        <w:t xml:space="preserve"> 掌握</w:t>
      </w:r>
      <w:r>
        <w:rPr>
          <w:rFonts w:hint="eastAsia" w:ascii="宋体" w:hAnsi="宋体"/>
          <w:szCs w:val="21"/>
        </w:rPr>
        <w:t>人事考评的功能和要素，以及人事考评的方法和程序。</w:t>
      </w:r>
    </w:p>
    <w:p>
      <w:pPr>
        <w:spacing w:line="400" w:lineRule="exact"/>
        <w:ind w:firstLine="470"/>
        <w:jc w:val="left"/>
        <w:rPr>
          <w:rFonts w:ascii="宋体" w:hAnsi="宋体"/>
          <w:szCs w:val="21"/>
        </w:rPr>
      </w:pPr>
      <w:r>
        <w:rPr>
          <w:rFonts w:hint="eastAsia" w:ascii="宋体" w:hAnsi="宋体"/>
          <w:szCs w:val="21"/>
        </w:rPr>
        <w:t>5.</w:t>
      </w:r>
      <w:r>
        <w:rPr>
          <w:rFonts w:ascii="宋体" w:hAnsi="宋体"/>
          <w:szCs w:val="21"/>
        </w:rPr>
        <w:t xml:space="preserve"> 掌握</w:t>
      </w:r>
      <w:r>
        <w:rPr>
          <w:rFonts w:hint="eastAsia" w:ascii="宋体" w:hAnsi="宋体"/>
          <w:szCs w:val="21"/>
        </w:rPr>
        <w:t>人员培训的任务和方法。</w:t>
      </w:r>
    </w:p>
    <w:p>
      <w:pPr>
        <w:spacing w:line="400" w:lineRule="exact"/>
        <w:ind w:firstLine="470"/>
        <w:jc w:val="left"/>
        <w:rPr>
          <w:rFonts w:ascii="宋体" w:hAnsi="宋体"/>
          <w:szCs w:val="21"/>
        </w:rPr>
      </w:pPr>
      <w:r>
        <w:rPr>
          <w:rFonts w:hint="eastAsia" w:ascii="宋体" w:hAnsi="宋体"/>
          <w:szCs w:val="21"/>
        </w:rPr>
        <w:t>6.</w:t>
      </w:r>
      <w:r>
        <w:rPr>
          <w:rFonts w:ascii="宋体" w:hAnsi="宋体"/>
          <w:szCs w:val="21"/>
        </w:rPr>
        <w:t xml:space="preserve"> </w:t>
      </w:r>
      <w:r>
        <w:rPr>
          <w:rFonts w:hint="eastAsia" w:ascii="宋体" w:hAnsi="宋体"/>
          <w:szCs w:val="21"/>
          <w:lang w:val="en-US" w:eastAsia="zh-CN"/>
        </w:rPr>
        <w:t>掌握</w:t>
      </w:r>
      <w:r>
        <w:rPr>
          <w:rFonts w:eastAsiaTheme="minorEastAsia"/>
          <w:color w:val="000000"/>
          <w:kern w:val="0"/>
          <w:szCs w:val="21"/>
        </w:rPr>
        <w:t>组织文化的定义、特征和分类</w:t>
      </w:r>
      <w:r>
        <w:rPr>
          <w:rFonts w:hint="eastAsia" w:eastAsiaTheme="minorEastAsia"/>
          <w:color w:val="000000"/>
          <w:kern w:val="0"/>
          <w:szCs w:val="21"/>
          <w:lang w:eastAsia="zh-CN"/>
        </w:rPr>
        <w:t>；</w:t>
      </w:r>
      <w:r>
        <w:rPr>
          <w:rFonts w:eastAsiaTheme="minorEastAsia"/>
          <w:color w:val="000000"/>
          <w:kern w:val="0"/>
          <w:szCs w:val="21"/>
        </w:rPr>
        <w:t>组织文化的影响因素</w:t>
      </w:r>
      <w:r>
        <w:rPr>
          <w:rFonts w:hint="eastAsia" w:eastAsiaTheme="minorEastAsia"/>
          <w:color w:val="000000"/>
          <w:kern w:val="0"/>
          <w:szCs w:val="21"/>
          <w:lang w:eastAsia="zh-CN"/>
        </w:rPr>
        <w:t>；</w:t>
      </w:r>
      <w:r>
        <w:rPr>
          <w:rFonts w:eastAsiaTheme="minorEastAsia"/>
          <w:color w:val="000000"/>
          <w:kern w:val="0"/>
          <w:szCs w:val="21"/>
        </w:rPr>
        <w:t>组织文化的塑造过程。</w:t>
      </w:r>
    </w:p>
    <w:p>
      <w:pPr>
        <w:spacing w:line="400" w:lineRule="exact"/>
        <w:ind w:firstLine="422" w:firstLineChars="200"/>
        <w:jc w:val="left"/>
        <w:rPr>
          <w:rFonts w:ascii="宋体" w:hAnsi="宋体"/>
          <w:b/>
          <w:szCs w:val="21"/>
        </w:rPr>
      </w:pPr>
      <w:r>
        <w:rPr>
          <w:rFonts w:hint="eastAsia" w:ascii="宋体" w:hAnsi="宋体"/>
          <w:b/>
          <w:szCs w:val="21"/>
        </w:rPr>
        <w:t>（四）领导</w:t>
      </w:r>
    </w:p>
    <w:p>
      <w:pPr>
        <w:spacing w:line="400" w:lineRule="exact"/>
        <w:ind w:firstLine="480"/>
        <w:jc w:val="left"/>
        <w:rPr>
          <w:rFonts w:ascii="宋体" w:hAnsi="宋体"/>
          <w:szCs w:val="21"/>
        </w:rPr>
      </w:pPr>
      <w:r>
        <w:rPr>
          <w:rFonts w:hint="eastAsia" w:ascii="宋体" w:hAnsi="宋体"/>
          <w:szCs w:val="21"/>
        </w:rPr>
        <w:t>1.</w:t>
      </w:r>
      <w:r>
        <w:rPr>
          <w:rFonts w:ascii="宋体" w:hAnsi="宋体"/>
          <w:szCs w:val="21"/>
        </w:rPr>
        <w:t xml:space="preserve"> 理解领导的内涵、领导的作用、以及领导者权力体系的来源及构成</w:t>
      </w:r>
      <w:r>
        <w:rPr>
          <w:rFonts w:hint="eastAsia" w:ascii="宋体" w:hAnsi="宋体"/>
          <w:szCs w:val="21"/>
        </w:rPr>
        <w:t>。</w:t>
      </w:r>
    </w:p>
    <w:p>
      <w:pPr>
        <w:spacing w:line="400" w:lineRule="exact"/>
        <w:ind w:firstLine="480"/>
        <w:jc w:val="left"/>
        <w:rPr>
          <w:rFonts w:hint="eastAsia" w:ascii="宋体" w:hAnsi="宋体"/>
          <w:szCs w:val="21"/>
        </w:rPr>
      </w:pPr>
      <w:r>
        <w:rPr>
          <w:rFonts w:hint="eastAsia" w:ascii="宋体" w:hAnsi="宋体"/>
          <w:szCs w:val="21"/>
        </w:rPr>
        <w:t>2. 掌握领导者特质理论、领导者行为理论、领导者团队理论以及领导者角色理论。</w:t>
      </w:r>
    </w:p>
    <w:p>
      <w:pPr>
        <w:spacing w:line="400" w:lineRule="exact"/>
        <w:ind w:firstLine="480"/>
        <w:jc w:val="left"/>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掌握</w:t>
      </w:r>
      <w:r>
        <w:rPr>
          <w:rFonts w:eastAsiaTheme="minorEastAsia"/>
          <w:color w:val="000000"/>
          <w:kern w:val="0"/>
          <w:szCs w:val="21"/>
        </w:rPr>
        <w:t>激励的内涵</w:t>
      </w:r>
      <w:r>
        <w:rPr>
          <w:rFonts w:hint="eastAsia" w:eastAsiaTheme="minorEastAsia"/>
          <w:color w:val="000000"/>
          <w:kern w:val="0"/>
          <w:szCs w:val="21"/>
          <w:lang w:eastAsia="zh-CN"/>
        </w:rPr>
        <w:t>、</w:t>
      </w:r>
      <w:r>
        <w:rPr>
          <w:rFonts w:eastAsiaTheme="minorEastAsia"/>
          <w:color w:val="000000"/>
          <w:kern w:val="0"/>
          <w:szCs w:val="21"/>
        </w:rPr>
        <w:t>激励</w:t>
      </w:r>
      <w:r>
        <w:rPr>
          <w:rFonts w:hint="eastAsia" w:eastAsiaTheme="minorEastAsia"/>
          <w:color w:val="000000"/>
          <w:kern w:val="0"/>
          <w:szCs w:val="21"/>
          <w:lang w:val="en-US" w:eastAsia="zh-CN"/>
        </w:rPr>
        <w:t>的</w:t>
      </w:r>
      <w:r>
        <w:rPr>
          <w:rFonts w:eastAsiaTheme="minorEastAsia"/>
          <w:color w:val="000000"/>
          <w:kern w:val="0"/>
          <w:szCs w:val="21"/>
        </w:rPr>
        <w:t>方法</w:t>
      </w:r>
      <w:r>
        <w:rPr>
          <w:rFonts w:hint="eastAsia" w:eastAsiaTheme="minorEastAsia"/>
          <w:color w:val="000000"/>
          <w:kern w:val="0"/>
          <w:szCs w:val="21"/>
          <w:lang w:eastAsia="zh-CN"/>
        </w:rPr>
        <w:t>、</w:t>
      </w:r>
      <w:r>
        <w:rPr>
          <w:rFonts w:eastAsiaTheme="minorEastAsia"/>
          <w:color w:val="000000"/>
          <w:kern w:val="0"/>
          <w:szCs w:val="21"/>
        </w:rPr>
        <w:t>激励的基础</w:t>
      </w:r>
      <w:r>
        <w:rPr>
          <w:rFonts w:hint="eastAsia" w:eastAsiaTheme="minorEastAsia"/>
          <w:color w:val="000000"/>
          <w:kern w:val="0"/>
          <w:szCs w:val="21"/>
          <w:lang w:val="en-US" w:eastAsia="zh-CN"/>
        </w:rPr>
        <w:t>和</w:t>
      </w:r>
      <w:r>
        <w:rPr>
          <w:rFonts w:eastAsiaTheme="minorEastAsia"/>
          <w:color w:val="000000"/>
          <w:kern w:val="0"/>
          <w:szCs w:val="21"/>
        </w:rPr>
        <w:t>激励机理。</w:t>
      </w:r>
    </w:p>
    <w:p>
      <w:pPr>
        <w:spacing w:line="400" w:lineRule="exact"/>
        <w:ind w:firstLine="480"/>
        <w:jc w:val="left"/>
        <w:rPr>
          <w:rFonts w:ascii="宋体" w:hAnsi="宋体"/>
          <w:szCs w:val="21"/>
        </w:rPr>
      </w:pPr>
      <w:r>
        <w:rPr>
          <w:rFonts w:hint="eastAsia" w:ascii="宋体" w:hAnsi="宋体"/>
          <w:szCs w:val="21"/>
        </w:rPr>
        <w:t>4.</w:t>
      </w:r>
      <w:r>
        <w:rPr>
          <w:rFonts w:ascii="宋体" w:hAnsi="宋体"/>
          <w:szCs w:val="21"/>
        </w:rPr>
        <w:t xml:space="preserve"> 理解沟通的概念及其功能</w:t>
      </w:r>
      <w:r>
        <w:rPr>
          <w:rFonts w:hint="eastAsia" w:ascii="宋体" w:hAnsi="宋体"/>
          <w:szCs w:val="21"/>
        </w:rPr>
        <w:t>；沟通的类型和过程。</w:t>
      </w:r>
    </w:p>
    <w:p>
      <w:pPr>
        <w:spacing w:line="400" w:lineRule="exact"/>
        <w:ind w:firstLine="480"/>
        <w:jc w:val="left"/>
        <w:rPr>
          <w:rFonts w:ascii="宋体" w:hAnsi="宋体"/>
          <w:szCs w:val="21"/>
        </w:rPr>
      </w:pPr>
      <w:r>
        <w:rPr>
          <w:rFonts w:hint="eastAsia" w:ascii="宋体" w:hAnsi="宋体"/>
          <w:szCs w:val="21"/>
        </w:rPr>
        <w:t>5.</w:t>
      </w:r>
      <w:r>
        <w:rPr>
          <w:rFonts w:ascii="宋体" w:hAnsi="宋体"/>
          <w:szCs w:val="21"/>
        </w:rPr>
        <w:t xml:space="preserve"> 掌握有效沟通的方式方法</w:t>
      </w:r>
      <w:r>
        <w:rPr>
          <w:rFonts w:hint="eastAsia" w:ascii="宋体" w:hAnsi="宋体"/>
          <w:szCs w:val="21"/>
        </w:rPr>
        <w:t>，</w:t>
      </w:r>
      <w:r>
        <w:rPr>
          <w:rFonts w:ascii="宋体" w:hAnsi="宋体"/>
          <w:szCs w:val="21"/>
        </w:rPr>
        <w:t>克服沟通中的障碍</w:t>
      </w:r>
      <w:r>
        <w:rPr>
          <w:rFonts w:hint="eastAsia" w:ascii="宋体" w:hAnsi="宋体"/>
          <w:szCs w:val="21"/>
        </w:rPr>
        <w:t>，</w:t>
      </w:r>
      <w:r>
        <w:rPr>
          <w:rFonts w:ascii="宋体" w:hAnsi="宋体"/>
          <w:szCs w:val="21"/>
        </w:rPr>
        <w:t>提升沟通效率</w:t>
      </w:r>
      <w:r>
        <w:rPr>
          <w:rFonts w:hint="eastAsia" w:ascii="宋体" w:hAnsi="宋体"/>
          <w:szCs w:val="21"/>
        </w:rPr>
        <w:t>。</w:t>
      </w:r>
    </w:p>
    <w:p>
      <w:pPr>
        <w:spacing w:line="400" w:lineRule="exact"/>
        <w:ind w:firstLine="480"/>
        <w:jc w:val="left"/>
        <w:rPr>
          <w:rFonts w:ascii="宋体" w:hAnsi="宋体"/>
          <w:szCs w:val="21"/>
        </w:rPr>
      </w:pPr>
      <w:r>
        <w:rPr>
          <w:rFonts w:hint="eastAsia" w:ascii="宋体" w:hAnsi="宋体"/>
          <w:szCs w:val="21"/>
        </w:rPr>
        <w:t>6.</w:t>
      </w:r>
      <w:r>
        <w:rPr>
          <w:rFonts w:ascii="宋体" w:hAnsi="宋体"/>
          <w:szCs w:val="21"/>
        </w:rPr>
        <w:t xml:space="preserve"> 理解冲突对组织的影响</w:t>
      </w:r>
      <w:r>
        <w:rPr>
          <w:rFonts w:hint="eastAsia" w:ascii="宋体" w:hAnsi="宋体"/>
          <w:szCs w:val="21"/>
        </w:rPr>
        <w:t>，</w:t>
      </w:r>
      <w:r>
        <w:rPr>
          <w:rFonts w:ascii="宋体" w:hAnsi="宋体"/>
          <w:szCs w:val="21"/>
        </w:rPr>
        <w:t>结合有效沟通分析在冲突中应如何高效沟通</w:t>
      </w:r>
      <w:r>
        <w:rPr>
          <w:rFonts w:hint="eastAsia" w:ascii="宋体" w:hAnsi="宋体"/>
          <w:szCs w:val="21"/>
        </w:rPr>
        <w:t>。</w:t>
      </w:r>
    </w:p>
    <w:p>
      <w:pPr>
        <w:spacing w:line="400" w:lineRule="exact"/>
        <w:ind w:firstLine="480"/>
        <w:jc w:val="left"/>
        <w:rPr>
          <w:rFonts w:ascii="宋体" w:hAnsi="宋体"/>
          <w:b/>
          <w:szCs w:val="21"/>
        </w:rPr>
      </w:pPr>
      <w:r>
        <w:rPr>
          <w:rFonts w:hint="eastAsia" w:ascii="宋体" w:hAnsi="宋体"/>
          <w:b/>
          <w:szCs w:val="21"/>
        </w:rPr>
        <w:t>（五）控制</w:t>
      </w:r>
    </w:p>
    <w:p>
      <w:pPr>
        <w:spacing w:line="400" w:lineRule="exact"/>
        <w:ind w:firstLine="480"/>
        <w:jc w:val="left"/>
        <w:rPr>
          <w:rFonts w:ascii="宋体" w:hAnsi="宋体"/>
          <w:szCs w:val="21"/>
        </w:rPr>
      </w:pPr>
      <w:r>
        <w:rPr>
          <w:rFonts w:hint="eastAsia" w:ascii="宋体" w:hAnsi="宋体"/>
          <w:szCs w:val="21"/>
        </w:rPr>
        <w:t>1.</w:t>
      </w:r>
      <w:r>
        <w:rPr>
          <w:rFonts w:ascii="宋体" w:hAnsi="宋体"/>
          <w:szCs w:val="21"/>
        </w:rPr>
        <w:t xml:space="preserve"> </w:t>
      </w:r>
      <w:r>
        <w:rPr>
          <w:rFonts w:hint="eastAsia" w:ascii="宋体" w:hAnsi="宋体"/>
          <w:szCs w:val="21"/>
        </w:rPr>
        <w:t>掌握控制的概念、控制的必要性、企业进行管理控制的目的。</w:t>
      </w:r>
    </w:p>
    <w:p>
      <w:pPr>
        <w:spacing w:line="400" w:lineRule="exact"/>
        <w:ind w:firstLine="480"/>
        <w:jc w:val="left"/>
        <w:rPr>
          <w:rFonts w:ascii="宋体" w:hAnsi="宋体"/>
          <w:szCs w:val="21"/>
        </w:rPr>
      </w:pPr>
      <w:r>
        <w:rPr>
          <w:rFonts w:hint="eastAsia" w:ascii="宋体" w:hAnsi="宋体"/>
          <w:szCs w:val="21"/>
        </w:rPr>
        <w:t>2.</w:t>
      </w:r>
      <w:r>
        <w:rPr>
          <w:rFonts w:ascii="宋体" w:hAnsi="宋体"/>
          <w:szCs w:val="21"/>
        </w:rPr>
        <w:t xml:space="preserve"> 掌握</w:t>
      </w:r>
      <w:r>
        <w:rPr>
          <w:rFonts w:hint="eastAsia" w:ascii="宋体" w:hAnsi="宋体"/>
          <w:szCs w:val="21"/>
        </w:rPr>
        <w:t>控制的基本原理、控制的过程及有效控制的实现方式。</w:t>
      </w:r>
    </w:p>
    <w:p>
      <w:pPr>
        <w:spacing w:line="400" w:lineRule="exact"/>
        <w:ind w:firstLine="480"/>
        <w:jc w:val="left"/>
        <w:rPr>
          <w:rFonts w:ascii="宋体" w:hAnsi="宋体"/>
          <w:szCs w:val="21"/>
        </w:rPr>
      </w:pPr>
      <w:r>
        <w:rPr>
          <w:rFonts w:hint="eastAsia" w:ascii="宋体" w:hAnsi="宋体"/>
          <w:szCs w:val="21"/>
          <w:lang w:val="en-US" w:eastAsia="zh-CN"/>
        </w:rPr>
        <w:t>3</w:t>
      </w:r>
      <w:r>
        <w:rPr>
          <w:rFonts w:hint="eastAsia" w:ascii="宋体" w:hAnsi="宋体"/>
          <w:szCs w:val="21"/>
        </w:rPr>
        <w:t>.</w:t>
      </w:r>
      <w:r>
        <w:rPr>
          <w:rFonts w:ascii="宋体" w:hAnsi="宋体"/>
          <w:szCs w:val="21"/>
        </w:rPr>
        <w:t xml:space="preserve"> </w:t>
      </w:r>
      <w:r>
        <w:rPr>
          <w:rFonts w:hint="eastAsia" w:ascii="宋体" w:hAnsi="宋体"/>
          <w:szCs w:val="21"/>
        </w:rPr>
        <w:t>理解全面质量管理的内涵与实施原则；六西格玛管理的内涵与原则。</w:t>
      </w:r>
    </w:p>
    <w:p>
      <w:pPr>
        <w:spacing w:line="400" w:lineRule="exact"/>
        <w:ind w:firstLine="480"/>
        <w:jc w:val="left"/>
        <w:rPr>
          <w:rFonts w:ascii="宋体" w:hAnsi="宋体"/>
          <w:szCs w:val="21"/>
        </w:rPr>
      </w:pPr>
      <w:r>
        <w:rPr>
          <w:rFonts w:hint="eastAsia" w:ascii="宋体" w:hAnsi="宋体"/>
          <w:szCs w:val="21"/>
          <w:lang w:val="en-US" w:eastAsia="zh-CN"/>
        </w:rPr>
        <w:t>4</w:t>
      </w:r>
      <w:r>
        <w:rPr>
          <w:rFonts w:hint="eastAsia" w:ascii="宋体" w:hAnsi="宋体"/>
          <w:szCs w:val="21"/>
        </w:rPr>
        <w:t>.</w:t>
      </w:r>
      <w:r>
        <w:rPr>
          <w:rFonts w:ascii="宋体" w:hAnsi="宋体"/>
          <w:szCs w:val="21"/>
        </w:rPr>
        <w:t xml:space="preserve"> </w:t>
      </w:r>
      <w:r>
        <w:rPr>
          <w:rFonts w:hint="eastAsia" w:ascii="宋体" w:hAnsi="宋体"/>
          <w:szCs w:val="21"/>
        </w:rPr>
        <w:t>理解</w:t>
      </w:r>
      <w:r>
        <w:rPr>
          <w:rFonts w:ascii="宋体" w:hAnsi="宋体"/>
          <w:szCs w:val="21"/>
        </w:rPr>
        <w:t>风险的内涵与基本分类</w:t>
      </w:r>
      <w:r>
        <w:rPr>
          <w:rFonts w:hint="eastAsia" w:ascii="宋体" w:hAnsi="宋体"/>
          <w:szCs w:val="21"/>
        </w:rPr>
        <w:t>；风险管理的目标。</w:t>
      </w:r>
    </w:p>
    <w:p>
      <w:pPr>
        <w:spacing w:line="400" w:lineRule="exact"/>
        <w:ind w:firstLine="480"/>
        <w:jc w:val="left"/>
        <w:rPr>
          <w:rFonts w:ascii="宋体" w:hAnsi="宋体"/>
          <w:szCs w:val="21"/>
        </w:rPr>
      </w:pPr>
      <w:r>
        <w:rPr>
          <w:rFonts w:hint="eastAsia" w:ascii="宋体" w:hAnsi="宋体"/>
          <w:szCs w:val="21"/>
          <w:lang w:val="en-US" w:eastAsia="zh-CN"/>
        </w:rPr>
        <w:t>5</w:t>
      </w:r>
      <w:r>
        <w:rPr>
          <w:rFonts w:hint="eastAsia" w:ascii="宋体" w:hAnsi="宋体"/>
          <w:szCs w:val="21"/>
        </w:rPr>
        <w:t>.</w:t>
      </w:r>
      <w:r>
        <w:rPr>
          <w:rFonts w:ascii="宋体" w:hAnsi="宋体"/>
          <w:szCs w:val="21"/>
        </w:rPr>
        <w:t xml:space="preserve"> </w:t>
      </w:r>
      <w:r>
        <w:rPr>
          <w:rFonts w:hint="eastAsia" w:ascii="宋体" w:hAnsi="宋体"/>
          <w:szCs w:val="21"/>
        </w:rPr>
        <w:t>掌握风险评估的标准、风险评估的方法、以及控制风险的策略。</w:t>
      </w:r>
    </w:p>
    <w:p>
      <w:pPr>
        <w:spacing w:line="400" w:lineRule="exact"/>
        <w:ind w:firstLine="480"/>
        <w:jc w:val="left"/>
        <w:rPr>
          <w:rFonts w:ascii="宋体" w:hAnsi="宋体"/>
          <w:szCs w:val="21"/>
        </w:rPr>
      </w:pPr>
      <w:r>
        <w:rPr>
          <w:rFonts w:hint="eastAsia" w:ascii="宋体" w:hAnsi="宋体"/>
          <w:szCs w:val="21"/>
          <w:lang w:val="en-US" w:eastAsia="zh-CN"/>
        </w:rPr>
        <w:t>6</w:t>
      </w:r>
      <w:r>
        <w:rPr>
          <w:rFonts w:hint="eastAsia" w:ascii="宋体" w:hAnsi="宋体"/>
          <w:szCs w:val="21"/>
        </w:rPr>
        <w:t>.</w:t>
      </w:r>
      <w:r>
        <w:rPr>
          <w:rFonts w:ascii="宋体" w:hAnsi="宋体"/>
          <w:szCs w:val="21"/>
        </w:rPr>
        <w:t xml:space="preserve"> 理解危机预警</w:t>
      </w:r>
      <w:r>
        <w:rPr>
          <w:rFonts w:hint="eastAsia" w:ascii="宋体" w:hAnsi="宋体"/>
          <w:szCs w:val="21"/>
        </w:rPr>
        <w:t>、危机反应与恢复管理的基本内容。</w:t>
      </w:r>
    </w:p>
    <w:p>
      <w:pPr>
        <w:spacing w:line="400" w:lineRule="exact"/>
        <w:ind w:firstLine="480"/>
        <w:jc w:val="left"/>
        <w:rPr>
          <w:rFonts w:ascii="宋体" w:hAnsi="宋体"/>
          <w:b/>
          <w:szCs w:val="21"/>
        </w:rPr>
      </w:pPr>
      <w:r>
        <w:rPr>
          <w:rFonts w:hint="eastAsia" w:ascii="宋体" w:hAnsi="宋体"/>
          <w:b/>
          <w:szCs w:val="21"/>
        </w:rPr>
        <w:t>（六）创新</w:t>
      </w:r>
    </w:p>
    <w:p>
      <w:pPr>
        <w:spacing w:line="400" w:lineRule="exact"/>
        <w:ind w:firstLine="480"/>
        <w:jc w:val="left"/>
        <w:rPr>
          <w:rFonts w:ascii="宋体" w:hAnsi="宋体"/>
          <w:szCs w:val="21"/>
        </w:rPr>
      </w:pPr>
      <w:r>
        <w:rPr>
          <w:rFonts w:hint="eastAsia" w:ascii="宋体" w:hAnsi="宋体"/>
          <w:szCs w:val="21"/>
        </w:rPr>
        <w:t>1.</w:t>
      </w:r>
      <w:r>
        <w:rPr>
          <w:rFonts w:ascii="宋体" w:hAnsi="宋体"/>
          <w:szCs w:val="21"/>
        </w:rPr>
        <w:t xml:space="preserve"> 理解</w:t>
      </w:r>
      <w:r>
        <w:rPr>
          <w:rFonts w:hint="eastAsia" w:ascii="宋体" w:hAnsi="宋体"/>
          <w:szCs w:val="21"/>
        </w:rPr>
        <w:t>管理创新的内涵、管理创新的类型。</w:t>
      </w:r>
    </w:p>
    <w:p>
      <w:pPr>
        <w:spacing w:line="400" w:lineRule="exact"/>
        <w:ind w:firstLine="480"/>
        <w:jc w:val="left"/>
        <w:rPr>
          <w:rFonts w:hint="eastAsia" w:ascii="宋体" w:hAnsi="宋体"/>
          <w:szCs w:val="21"/>
        </w:rPr>
      </w:pPr>
      <w:r>
        <w:rPr>
          <w:rFonts w:hint="eastAsia" w:ascii="宋体" w:hAnsi="宋体"/>
          <w:szCs w:val="21"/>
        </w:rPr>
        <w:t>2.</w:t>
      </w:r>
      <w:r>
        <w:rPr>
          <w:rFonts w:ascii="宋体" w:hAnsi="宋体"/>
          <w:szCs w:val="21"/>
        </w:rPr>
        <w:t xml:space="preserve"> 掌握有效管理创新工作的主要内容</w:t>
      </w:r>
      <w:r>
        <w:rPr>
          <w:rFonts w:hint="eastAsia" w:ascii="宋体" w:hAnsi="宋体"/>
          <w:szCs w:val="21"/>
        </w:rPr>
        <w:t>。</w:t>
      </w:r>
    </w:p>
    <w:p>
      <w:pPr>
        <w:spacing w:line="400" w:lineRule="exact"/>
        <w:ind w:firstLine="480"/>
        <w:jc w:val="left"/>
        <w:rPr>
          <w:rFonts w:ascii="宋体" w:hAnsi="宋体"/>
          <w:szCs w:val="21"/>
        </w:rPr>
      </w:pPr>
      <w:r>
        <w:rPr>
          <w:rFonts w:hint="eastAsia" w:ascii="宋体" w:hAnsi="宋体"/>
          <w:szCs w:val="21"/>
        </w:rPr>
        <w:t>3.</w:t>
      </w:r>
      <w:r>
        <w:rPr>
          <w:rFonts w:ascii="宋体" w:hAnsi="宋体"/>
          <w:szCs w:val="21"/>
        </w:rPr>
        <w:t xml:space="preserve"> </w:t>
      </w:r>
      <w:r>
        <w:rPr>
          <w:rFonts w:hint="eastAsia" w:ascii="宋体" w:hAnsi="宋体"/>
          <w:szCs w:val="21"/>
        </w:rPr>
        <w:t>掌握组织变革模式和路径，以及组织常见的变革障碍；</w:t>
      </w:r>
      <w:r>
        <w:rPr>
          <w:rFonts w:ascii="宋体" w:hAnsi="宋体"/>
          <w:szCs w:val="21"/>
        </w:rPr>
        <w:t>理解组织变革管理过程</w:t>
      </w:r>
      <w:r>
        <w:rPr>
          <w:rFonts w:hint="eastAsia" w:ascii="宋体" w:hAnsi="宋体"/>
          <w:szCs w:val="21"/>
        </w:rPr>
        <w:t>。</w:t>
      </w:r>
    </w:p>
    <w:p>
      <w:pPr>
        <w:spacing w:line="400" w:lineRule="exact"/>
        <w:ind w:firstLine="420" w:firstLineChars="200"/>
        <w:jc w:val="left"/>
        <w:rPr>
          <w:rFonts w:ascii="宋体" w:hAnsi="宋体" w:cs="宋体"/>
          <w:bCs/>
          <w:kern w:val="0"/>
          <w:szCs w:val="21"/>
        </w:rPr>
      </w:pPr>
    </w:p>
    <w:p>
      <w:pPr>
        <w:spacing w:line="400" w:lineRule="exact"/>
        <w:ind w:firstLine="422" w:firstLineChars="200"/>
        <w:jc w:val="left"/>
        <w:rPr>
          <w:rFonts w:ascii="宋体" w:hAnsi="宋体" w:cs="宋体"/>
          <w:b/>
          <w:kern w:val="0"/>
          <w:szCs w:val="21"/>
        </w:rPr>
      </w:pPr>
      <w:r>
        <w:rPr>
          <w:rFonts w:hint="eastAsia" w:ascii="宋体" w:hAnsi="宋体" w:cs="宋体"/>
          <w:b/>
          <w:bCs/>
          <w:kern w:val="0"/>
          <w:szCs w:val="21"/>
        </w:rPr>
        <w:t>五、</w:t>
      </w:r>
      <w:r>
        <w:rPr>
          <w:rFonts w:hint="eastAsia" w:ascii="宋体" w:hAnsi="宋体" w:cs="宋体"/>
          <w:b/>
          <w:kern w:val="0"/>
          <w:szCs w:val="21"/>
        </w:rPr>
        <w:t>考试形式、题型和分值</w:t>
      </w:r>
    </w:p>
    <w:p>
      <w:pPr>
        <w:spacing w:line="40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w:t>
      </w:r>
      <w:r>
        <w:rPr>
          <w:rFonts w:hint="eastAsia" w:ascii="宋体" w:hAnsi="宋体" w:cs="宋体"/>
          <w:kern w:val="0"/>
          <w:szCs w:val="21"/>
        </w:rPr>
        <w:t>考试形式：闭卷（满分：120分；考试时间：90分钟。）</w:t>
      </w:r>
    </w:p>
    <w:p>
      <w:pPr>
        <w:spacing w:line="400" w:lineRule="exact"/>
        <w:ind w:firstLine="420" w:firstLineChars="200"/>
        <w:rPr>
          <w:rFonts w:ascii="宋体" w:hAnsi="宋体" w:cs="宋体"/>
          <w:kern w:val="0"/>
          <w:szCs w:val="21"/>
        </w:rPr>
      </w:pPr>
      <w:r>
        <w:rPr>
          <w:rFonts w:hint="eastAsia" w:ascii="宋体" w:hAnsi="宋体" w:cs="宋体"/>
          <w:kern w:val="0"/>
          <w:szCs w:val="21"/>
        </w:rPr>
        <w:t>2.</w:t>
      </w:r>
      <w:r>
        <w:rPr>
          <w:rFonts w:ascii="宋体" w:hAnsi="宋体" w:cs="宋体"/>
          <w:kern w:val="0"/>
          <w:szCs w:val="21"/>
        </w:rPr>
        <w:t xml:space="preserve"> </w:t>
      </w:r>
      <w:r>
        <w:rPr>
          <w:rFonts w:hint="eastAsia" w:ascii="宋体" w:hAnsi="宋体" w:cs="宋体"/>
          <w:kern w:val="0"/>
          <w:szCs w:val="21"/>
        </w:rPr>
        <w:t>题型及分值：</w:t>
      </w:r>
    </w:p>
    <w:p>
      <w:pPr>
        <w:spacing w:line="400" w:lineRule="exact"/>
        <w:ind w:firstLine="420" w:firstLineChars="200"/>
        <w:jc w:val="left"/>
        <w:rPr>
          <w:rFonts w:ascii="宋体" w:hAnsi="宋体"/>
          <w:color w:val="000000"/>
          <w:szCs w:val="21"/>
          <w:shd w:val="clear" w:color="auto" w:fill="FFFFFF"/>
        </w:rPr>
      </w:pPr>
      <w:r>
        <w:rPr>
          <w:rFonts w:hint="eastAsia" w:ascii="宋体" w:hAnsi="宋体"/>
          <w:color w:val="000000"/>
          <w:szCs w:val="21"/>
          <w:shd w:val="clear" w:color="auto" w:fill="FFFFFF"/>
        </w:rPr>
        <w:t>（1）单项选择题（每题2分，共30分）</w:t>
      </w:r>
    </w:p>
    <w:p>
      <w:pPr>
        <w:spacing w:line="400" w:lineRule="exact"/>
        <w:ind w:firstLine="420" w:firstLineChars="200"/>
        <w:jc w:val="left"/>
        <w:rPr>
          <w:rFonts w:ascii="宋体" w:hAnsi="宋体"/>
          <w:color w:val="000000"/>
          <w:szCs w:val="21"/>
          <w:shd w:val="clear" w:color="auto" w:fill="FFFFFF"/>
        </w:rPr>
      </w:pPr>
      <w:r>
        <w:rPr>
          <w:rFonts w:hint="eastAsia" w:ascii="宋体" w:hAnsi="宋体"/>
          <w:color w:val="000000"/>
          <w:szCs w:val="21"/>
          <w:shd w:val="clear" w:color="auto" w:fill="FFFFFF"/>
        </w:rPr>
        <w:t>（2）判断题（每题2分，共20分）</w:t>
      </w:r>
    </w:p>
    <w:p>
      <w:pPr>
        <w:spacing w:line="400" w:lineRule="exact"/>
        <w:ind w:firstLine="420" w:firstLineChars="200"/>
        <w:jc w:val="left"/>
        <w:rPr>
          <w:rFonts w:ascii="宋体" w:hAnsi="宋体"/>
          <w:color w:val="000000"/>
          <w:szCs w:val="21"/>
          <w:shd w:val="clear" w:color="auto" w:fill="FFFFFF"/>
        </w:rPr>
      </w:pPr>
      <w:r>
        <w:rPr>
          <w:rFonts w:hint="eastAsia" w:ascii="宋体" w:hAnsi="宋体"/>
          <w:color w:val="000000"/>
          <w:szCs w:val="21"/>
          <w:shd w:val="clear" w:color="auto" w:fill="FFFFFF"/>
        </w:rPr>
        <w:t>（3）简答题（每题5分，共20分）</w:t>
      </w:r>
    </w:p>
    <w:p>
      <w:pPr>
        <w:spacing w:line="400" w:lineRule="exact"/>
        <w:ind w:firstLine="420" w:firstLineChars="200"/>
        <w:jc w:val="left"/>
        <w:rPr>
          <w:rFonts w:ascii="宋体" w:hAnsi="宋体"/>
          <w:color w:val="000000"/>
          <w:szCs w:val="21"/>
          <w:shd w:val="clear" w:color="auto" w:fill="FFFFFF"/>
        </w:rPr>
      </w:pPr>
      <w:r>
        <w:rPr>
          <w:rFonts w:hint="eastAsia" w:ascii="宋体" w:hAnsi="宋体"/>
          <w:color w:val="000000"/>
          <w:szCs w:val="21"/>
          <w:shd w:val="clear" w:color="auto" w:fill="FFFFFF"/>
        </w:rPr>
        <w:t>（4）论述题（每题10分，共20分）</w:t>
      </w:r>
    </w:p>
    <w:p>
      <w:pPr>
        <w:spacing w:line="400" w:lineRule="exact"/>
        <w:ind w:firstLine="420" w:firstLineChars="200"/>
        <w:jc w:val="left"/>
        <w:rPr>
          <w:rFonts w:ascii="宋体" w:hAnsi="宋体"/>
          <w:szCs w:val="21"/>
        </w:rPr>
      </w:pPr>
      <w:r>
        <w:rPr>
          <w:rFonts w:hint="eastAsia" w:ascii="宋体" w:hAnsi="宋体"/>
          <w:color w:val="000000"/>
          <w:szCs w:val="21"/>
          <w:shd w:val="clear" w:color="auto" w:fill="FFFFFF"/>
        </w:rPr>
        <w:t>（5）</w:t>
      </w:r>
      <w:r>
        <w:rPr>
          <w:rFonts w:hint="eastAsia" w:ascii="宋体" w:hAnsi="宋体"/>
          <w:szCs w:val="21"/>
        </w:rPr>
        <w:t>案例分析题</w:t>
      </w:r>
      <w:r>
        <w:rPr>
          <w:rFonts w:hint="eastAsia" w:ascii="宋体" w:hAnsi="宋体" w:cs="宋体"/>
          <w:kern w:val="0"/>
          <w:szCs w:val="21"/>
        </w:rPr>
        <w:t>（本题共30分）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9A2"/>
    <w:rsid w:val="0002062F"/>
    <w:rsid w:val="000255BA"/>
    <w:rsid w:val="00032283"/>
    <w:rsid w:val="00050FB1"/>
    <w:rsid w:val="000728D3"/>
    <w:rsid w:val="00077087"/>
    <w:rsid w:val="00097296"/>
    <w:rsid w:val="000C0A1D"/>
    <w:rsid w:val="000D2291"/>
    <w:rsid w:val="000E07CC"/>
    <w:rsid w:val="00106CB2"/>
    <w:rsid w:val="00120EB3"/>
    <w:rsid w:val="00125B93"/>
    <w:rsid w:val="00161965"/>
    <w:rsid w:val="0016340B"/>
    <w:rsid w:val="00172776"/>
    <w:rsid w:val="001807A0"/>
    <w:rsid w:val="001A5138"/>
    <w:rsid w:val="001B5B36"/>
    <w:rsid w:val="001C7144"/>
    <w:rsid w:val="001E5117"/>
    <w:rsid w:val="00222D7A"/>
    <w:rsid w:val="002521EE"/>
    <w:rsid w:val="002540FA"/>
    <w:rsid w:val="0027675A"/>
    <w:rsid w:val="002806E2"/>
    <w:rsid w:val="002A188F"/>
    <w:rsid w:val="002B4B6B"/>
    <w:rsid w:val="002B7838"/>
    <w:rsid w:val="002E7B62"/>
    <w:rsid w:val="003158FA"/>
    <w:rsid w:val="00381906"/>
    <w:rsid w:val="003958BC"/>
    <w:rsid w:val="003B36C1"/>
    <w:rsid w:val="00407DFD"/>
    <w:rsid w:val="00423F10"/>
    <w:rsid w:val="00440BE4"/>
    <w:rsid w:val="00446427"/>
    <w:rsid w:val="004574E6"/>
    <w:rsid w:val="00471578"/>
    <w:rsid w:val="00483703"/>
    <w:rsid w:val="0049002E"/>
    <w:rsid w:val="004B090A"/>
    <w:rsid w:val="004B3E09"/>
    <w:rsid w:val="004F2B11"/>
    <w:rsid w:val="004F5716"/>
    <w:rsid w:val="00500CEA"/>
    <w:rsid w:val="0054346D"/>
    <w:rsid w:val="00545BD6"/>
    <w:rsid w:val="00547C97"/>
    <w:rsid w:val="00550025"/>
    <w:rsid w:val="00566574"/>
    <w:rsid w:val="00573EC7"/>
    <w:rsid w:val="00591C12"/>
    <w:rsid w:val="00596C04"/>
    <w:rsid w:val="005A1F56"/>
    <w:rsid w:val="005A64FC"/>
    <w:rsid w:val="005B45DF"/>
    <w:rsid w:val="005E4827"/>
    <w:rsid w:val="005F0A61"/>
    <w:rsid w:val="00612151"/>
    <w:rsid w:val="00643D45"/>
    <w:rsid w:val="0064667B"/>
    <w:rsid w:val="00656BBE"/>
    <w:rsid w:val="006E4C2B"/>
    <w:rsid w:val="006F1E6E"/>
    <w:rsid w:val="006F3147"/>
    <w:rsid w:val="007104F4"/>
    <w:rsid w:val="00716B7D"/>
    <w:rsid w:val="007219E2"/>
    <w:rsid w:val="0073104D"/>
    <w:rsid w:val="00731C74"/>
    <w:rsid w:val="00745625"/>
    <w:rsid w:val="00770BF0"/>
    <w:rsid w:val="0077292B"/>
    <w:rsid w:val="00781783"/>
    <w:rsid w:val="007D45C4"/>
    <w:rsid w:val="007E0EAF"/>
    <w:rsid w:val="007F68A5"/>
    <w:rsid w:val="007F7AD7"/>
    <w:rsid w:val="00810D92"/>
    <w:rsid w:val="0082707A"/>
    <w:rsid w:val="00843A04"/>
    <w:rsid w:val="00881100"/>
    <w:rsid w:val="00882E4C"/>
    <w:rsid w:val="00885977"/>
    <w:rsid w:val="008B1FC0"/>
    <w:rsid w:val="008C3471"/>
    <w:rsid w:val="008E45FC"/>
    <w:rsid w:val="008E6029"/>
    <w:rsid w:val="0091757F"/>
    <w:rsid w:val="0095385B"/>
    <w:rsid w:val="0095556A"/>
    <w:rsid w:val="00965644"/>
    <w:rsid w:val="00982BFB"/>
    <w:rsid w:val="009900FF"/>
    <w:rsid w:val="009A4357"/>
    <w:rsid w:val="009C1DEF"/>
    <w:rsid w:val="009C704A"/>
    <w:rsid w:val="009D71AB"/>
    <w:rsid w:val="009E0998"/>
    <w:rsid w:val="009F6BA3"/>
    <w:rsid w:val="009F6F17"/>
    <w:rsid w:val="00A019A8"/>
    <w:rsid w:val="00A02CBB"/>
    <w:rsid w:val="00A048B8"/>
    <w:rsid w:val="00A111D7"/>
    <w:rsid w:val="00A33719"/>
    <w:rsid w:val="00A51FFF"/>
    <w:rsid w:val="00A63D6A"/>
    <w:rsid w:val="00A73EFE"/>
    <w:rsid w:val="00A829DD"/>
    <w:rsid w:val="00A82EE7"/>
    <w:rsid w:val="00A8731D"/>
    <w:rsid w:val="00A87700"/>
    <w:rsid w:val="00AA316A"/>
    <w:rsid w:val="00AD0BA1"/>
    <w:rsid w:val="00AE1543"/>
    <w:rsid w:val="00AF18B7"/>
    <w:rsid w:val="00B33A8E"/>
    <w:rsid w:val="00B37CA3"/>
    <w:rsid w:val="00B62661"/>
    <w:rsid w:val="00B953E9"/>
    <w:rsid w:val="00B9743C"/>
    <w:rsid w:val="00BA5269"/>
    <w:rsid w:val="00BA66D9"/>
    <w:rsid w:val="00BC6433"/>
    <w:rsid w:val="00BE080F"/>
    <w:rsid w:val="00C217DD"/>
    <w:rsid w:val="00C714A0"/>
    <w:rsid w:val="00C77B02"/>
    <w:rsid w:val="00C821FC"/>
    <w:rsid w:val="00C9221B"/>
    <w:rsid w:val="00CA5F79"/>
    <w:rsid w:val="00CB0C04"/>
    <w:rsid w:val="00CB4993"/>
    <w:rsid w:val="00CC4635"/>
    <w:rsid w:val="00CD304F"/>
    <w:rsid w:val="00CE3800"/>
    <w:rsid w:val="00CE712D"/>
    <w:rsid w:val="00CE79E1"/>
    <w:rsid w:val="00CF48FD"/>
    <w:rsid w:val="00D21E7D"/>
    <w:rsid w:val="00D46C30"/>
    <w:rsid w:val="00D505AE"/>
    <w:rsid w:val="00D52AB1"/>
    <w:rsid w:val="00D96434"/>
    <w:rsid w:val="00DA5F0F"/>
    <w:rsid w:val="00DB2478"/>
    <w:rsid w:val="00DE6D10"/>
    <w:rsid w:val="00DF0198"/>
    <w:rsid w:val="00E073AB"/>
    <w:rsid w:val="00E07407"/>
    <w:rsid w:val="00E259A2"/>
    <w:rsid w:val="00E46048"/>
    <w:rsid w:val="00E5719A"/>
    <w:rsid w:val="00EC1796"/>
    <w:rsid w:val="00EF6E22"/>
    <w:rsid w:val="00F06F9A"/>
    <w:rsid w:val="00F26189"/>
    <w:rsid w:val="00F77367"/>
    <w:rsid w:val="00FF5A8D"/>
    <w:rsid w:val="04BC0364"/>
    <w:rsid w:val="0FBB3631"/>
    <w:rsid w:val="2C4D0CF0"/>
    <w:rsid w:val="3190783A"/>
    <w:rsid w:val="31A23440"/>
    <w:rsid w:val="353C71A8"/>
    <w:rsid w:val="67473CD2"/>
    <w:rsid w:val="7D1140E0"/>
    <w:rsid w:val="7D9005A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kern w:val="0"/>
      <w:sz w:val="2"/>
      <w:szCs w:val="20"/>
    </w:rPr>
  </w:style>
  <w:style w:type="paragraph" w:styleId="3">
    <w:name w:val="footer"/>
    <w:basedOn w:val="1"/>
    <w:link w:val="11"/>
    <w:semiHidden/>
    <w:qFormat/>
    <w:uiPriority w:val="99"/>
    <w:pPr>
      <w:tabs>
        <w:tab w:val="center" w:pos="4153"/>
        <w:tab w:val="right" w:pos="8306"/>
      </w:tabs>
      <w:snapToGrid w:val="0"/>
      <w:jc w:val="left"/>
    </w:pPr>
    <w:rPr>
      <w:kern w:val="0"/>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HTML Preformatted"/>
    <w:basedOn w:val="1"/>
    <w:link w:val="1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szCs w:val="24"/>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semiHidden/>
    <w:unhideWhenUsed/>
    <w:qFormat/>
    <w:uiPriority w:val="99"/>
    <w:rPr>
      <w:color w:val="3F88BF"/>
      <w:u w:val="none"/>
    </w:rPr>
  </w:style>
  <w:style w:type="character" w:customStyle="1" w:styleId="10">
    <w:name w:val="页眉 Char"/>
    <w:link w:val="4"/>
    <w:semiHidden/>
    <w:qFormat/>
    <w:locked/>
    <w:uiPriority w:val="99"/>
    <w:rPr>
      <w:rFonts w:cs="Times New Roman"/>
      <w:sz w:val="18"/>
      <w:szCs w:val="18"/>
    </w:rPr>
  </w:style>
  <w:style w:type="character" w:customStyle="1" w:styleId="11">
    <w:name w:val="页脚 Char"/>
    <w:link w:val="3"/>
    <w:semiHidden/>
    <w:qFormat/>
    <w:locked/>
    <w:uiPriority w:val="99"/>
    <w:rPr>
      <w:rFonts w:cs="Times New Roman"/>
      <w:sz w:val="18"/>
      <w:szCs w:val="18"/>
    </w:rPr>
  </w:style>
  <w:style w:type="character" w:customStyle="1" w:styleId="12">
    <w:name w:val="批注框文本 Char"/>
    <w:link w:val="2"/>
    <w:semiHidden/>
    <w:qFormat/>
    <w:locked/>
    <w:uiPriority w:val="99"/>
    <w:rPr>
      <w:rFonts w:cs="Times New Roman"/>
      <w:sz w:val="2"/>
    </w:rPr>
  </w:style>
  <w:style w:type="character" w:customStyle="1" w:styleId="13">
    <w:name w:val="HTML 预设格式 Char"/>
    <w:link w:val="5"/>
    <w:semiHidden/>
    <w:qFormat/>
    <w:uiPriority w:val="99"/>
    <w:rPr>
      <w:rFonts w:ascii="微软雅黑" w:hAnsi="微软雅黑" w:eastAsia="微软雅黑" w:cs="Arial"/>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DEBA3-AB82-4C9A-A6AD-29884354FC09}">
  <ds:schemaRefs/>
</ds:datastoreItem>
</file>

<file path=docProps/app.xml><?xml version="1.0" encoding="utf-8"?>
<Properties xmlns="http://schemas.openxmlformats.org/officeDocument/2006/extended-properties" xmlns:vt="http://schemas.openxmlformats.org/officeDocument/2006/docPropsVTypes">
  <Template>Normal</Template>
  <Pages>2</Pages>
  <Words>199</Words>
  <Characters>1140</Characters>
  <Lines>9</Lines>
  <Paragraphs>2</Paragraphs>
  <TotalTime>0</TotalTime>
  <ScaleCrop>false</ScaleCrop>
  <LinksUpToDate>false</LinksUpToDate>
  <CharactersWithSpaces>1337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2016-05-26T00:36:00Z</dcterms:created>
  <dc:creator>Windows 用户</dc:creator>
  <cp:lastModifiedBy>Administrator</cp:lastModifiedBy>
  <cp:lastPrinted>2020-06-19T03:19:00Z</cp:lastPrinted>
  <dcterms:modified xsi:type="dcterms:W3CDTF">2022-03-19T01:07:09Z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1E1EFDDF46DD4BD3BEF593D71D55775E</vt:lpwstr>
  </property>
</Properties>
</file>