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ascii="Times New Roman" w:hAnsi="Times New Roman" w:eastAsia="黑体" w:cs="Times New Roman"/>
          <w:b w:val="0"/>
          <w:bCs w:val="0"/>
        </w:rPr>
      </w:pPr>
      <w:bookmarkStart w:id="0" w:name="_Hlk129590576"/>
      <w:r>
        <w:rPr>
          <w:rFonts w:ascii="Times New Roman" w:hAnsi="Times New Roman" w:eastAsia="黑体" w:cs="Times New Roman"/>
          <w:b w:val="0"/>
          <w:bCs w:val="0"/>
        </w:rPr>
        <w:t>武汉工程科技学院2023年普通专升本入学考试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ascii="Times New Roman" w:hAnsi="Times New Roman" w:eastAsia="黑体" w:cs="Times New Roman"/>
          <w:b w:val="0"/>
          <w:bCs w:val="0"/>
        </w:rPr>
      </w:pPr>
      <w:r>
        <w:rPr>
          <w:rFonts w:ascii="Times New Roman" w:hAnsi="Times New Roman" w:eastAsia="黑体" w:cs="Times New Roman"/>
          <w:b w:val="0"/>
          <w:bCs w:val="0"/>
        </w:rPr>
        <w:t>《管理学》课程考试大纲</w:t>
      </w:r>
    </w:p>
    <w:p>
      <w:pPr>
        <w:spacing w:before="312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工商管理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right="142" w:firstLine="452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本考试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主要是测试考生掌握管理学基础理论和方法，应用管理学原理、方法、工具进行分析问题，解决问题的能力。</w:t>
      </w:r>
    </w:p>
    <w:p>
      <w:pPr>
        <w:spacing w:line="440" w:lineRule="exact"/>
        <w:ind w:right="3877"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单项选择题（共10小题，每小题 2分，共计20分）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判断题（共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小题，每小题 2分，共计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0分）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简答题（共2小题，每小题10分，共计20分）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案例分析题（共3小题，每小题10分，共计30分）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论述题（共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1小题，每小题10分，共计10分）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第一章  管理导论</w:t>
      </w:r>
    </w:p>
    <w:p>
      <w:pPr>
        <w:pStyle w:val="4"/>
        <w:spacing w:line="440" w:lineRule="exact"/>
        <w:ind w:right="-2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了解管理的内涵。</w:t>
      </w:r>
    </w:p>
    <w:p>
      <w:pPr>
        <w:pStyle w:val="4"/>
        <w:spacing w:line="440" w:lineRule="exact"/>
        <w:ind w:right="-2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理解管理的本质，管理的基本原理（管理五大职能），管理的基本工具。</w:t>
      </w:r>
    </w:p>
    <w:p>
      <w:pPr>
        <w:pStyle w:val="4"/>
        <w:spacing w:line="440" w:lineRule="exact"/>
        <w:ind w:right="-22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掌握管理的概念和基本特征、管理工作的内容，管理的科学性与艺术性。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第二章 管理理论的历史演变</w:t>
      </w:r>
    </w:p>
    <w:p>
      <w:pPr>
        <w:pStyle w:val="4"/>
        <w:spacing w:line="440" w:lineRule="exact"/>
        <w:ind w:right="-22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了解管理理论的形成与发展进程。</w:t>
      </w:r>
    </w:p>
    <w:p>
      <w:pPr>
        <w:pStyle w:val="4"/>
        <w:spacing w:line="440" w:lineRule="exact"/>
        <w:ind w:right="119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理解管理思维的系统观和权变观。</w:t>
      </w:r>
    </w:p>
    <w:p>
      <w:pPr>
        <w:pStyle w:val="4"/>
        <w:spacing w:line="440" w:lineRule="exact"/>
        <w:ind w:right="-22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掌握泰勒的科学管理研究的主要内容；掌握法约尔的14条管理原则；掌握韦伯的科层组织形式和三种权利类型。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第三章  决策与决策过程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了解决策的影响因素。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理解决策与计划之间的关系、决策的功能与任务。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掌握广义决策的概念和活动过程；能够区分程序化决策和非程序化决策；掌握决策的特征和决策过程。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第四章  环境分析与理性决策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了解环境分类、一般环境分析方法。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理解一般环境、具体环境和组织内部环境的主要构成部分和彼此之间的关系。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掌握一般环境分析方法——P</w:t>
      </w:r>
      <w:r>
        <w:rPr>
          <w:rFonts w:ascii="宋体" w:hAnsi="宋体" w:eastAsia="宋体" w:cs="宋体"/>
          <w:sz w:val="24"/>
          <w:szCs w:val="24"/>
        </w:rPr>
        <w:t>EST</w:t>
      </w:r>
      <w:r>
        <w:rPr>
          <w:rFonts w:hint="eastAsia" w:ascii="宋体" w:hAnsi="宋体" w:eastAsia="宋体" w:cs="宋体"/>
          <w:sz w:val="24"/>
          <w:szCs w:val="24"/>
        </w:rPr>
        <w:t>分析；具体环境分析方法——五种力量模型；S</w:t>
      </w:r>
      <w:r>
        <w:rPr>
          <w:rFonts w:ascii="宋体" w:hAnsi="宋体" w:eastAsia="宋体" w:cs="宋体"/>
          <w:sz w:val="24"/>
          <w:szCs w:val="24"/>
        </w:rPr>
        <w:t>WOT</w:t>
      </w:r>
      <w:r>
        <w:rPr>
          <w:rFonts w:hint="eastAsia" w:ascii="宋体" w:hAnsi="宋体" w:eastAsia="宋体" w:cs="宋体"/>
          <w:sz w:val="24"/>
          <w:szCs w:val="24"/>
        </w:rPr>
        <w:t>分析、决策树法。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第五章 决策的实施与调整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理解计划工作是管理重要职能的特征体现，明确计划的作用。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掌握计划的概念；长期、中期、短期计划的涵义；计划编制的过程和方法；目标管理的涵义和特点、PDCA循环四个基本阶段。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第六章 组织设计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了解组织结构的演变趋势。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理解组织整合过程中正式组织与非正式组织、集权和分权、直线和参谋之间的关系。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掌握组织结构的涵义、主要的组织结构形式（直线职能制、事业部制、矩阵制）的优缺点、管理幅度与管理层级的关系、集权与分权。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第九章 领导的一般理论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了解领导三要素。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理解领导与管理之间的关系，领导情境模型的涵义。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掌握领导权利的五种来源；区分独裁、民主、放任三种领导方式的特点；以及管理方格理论最具代表性的五种领导方式。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第十章 激励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了解激励的基础。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理解激励机理，理解不同人性假设下的不同激励方法。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掌握经济人、社会人假设的概念；掌握需要层次理论、双因素理论、行为强化理论和常用的激励方法。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第十一章 沟通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了解管理实践中沟通的重要性，有效沟通的标准，冲突产生的原因。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理解正式沟通和非正式沟通不同类型之间的差别；理解如何克服沟通障碍。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掌握沟通及正式沟通的定义、沟通过程、正式沟通渠道。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第十二章 控制的类型与过程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了解控制的系统组成。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理解控制的基本过程。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掌握控制的定义；前馈控制、现场控制和反馈控制的特征及优缺点。</w:t>
      </w:r>
    </w:p>
    <w:p>
      <w:pPr>
        <w:pStyle w:val="3"/>
        <w:spacing w:line="440" w:lineRule="exact"/>
        <w:ind w:left="0" w:firstLine="480" w:firstLineChars="20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第十三章 控制的方法与技术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了解层级控制、市场控制与团体控制的内涵。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理解信息技术在管理控制中的作用。</w:t>
      </w:r>
    </w:p>
    <w:p>
      <w:pPr>
        <w:pStyle w:val="4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掌握全面质量管理的基本要求。</w:t>
      </w:r>
    </w:p>
    <w:p>
      <w:pPr>
        <w:pStyle w:val="12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12"/>
        <w:tabs>
          <w:tab w:val="left" w:pos="841"/>
        </w:tabs>
        <w:spacing w:before="0" w:line="440" w:lineRule="exact"/>
        <w:ind w:left="0" w:right="5856" w:firstLine="480" w:firstLineChars="200"/>
        <w:jc w:val="both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管理学（第</w:t>
      </w:r>
      <w:r>
        <w:rPr>
          <w:rFonts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版）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ISBN：978-7-</w:t>
      </w:r>
      <w:r>
        <w:rPr>
          <w:rFonts w:ascii="宋体" w:hAnsi="宋体" w:eastAsia="宋体" w:cs="宋体"/>
          <w:sz w:val="24"/>
          <w:szCs w:val="24"/>
          <w:lang w:val="en-US"/>
        </w:rPr>
        <w:t>04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045832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-</w:t>
      </w:r>
      <w:r>
        <w:rPr>
          <w:rFonts w:ascii="宋体" w:hAnsi="宋体" w:eastAsia="宋体" w:cs="宋体"/>
          <w:sz w:val="24"/>
          <w:szCs w:val="24"/>
          <w:lang w:val="en-US"/>
        </w:rPr>
        <w:t>9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：《管理学》编写组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出版社:高等教育出版社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出版时间：201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ascii="宋体" w:hAnsi="宋体" w:eastAsia="宋体" w:cs="宋体"/>
          <w:sz w:val="24"/>
          <w:szCs w:val="24"/>
        </w:rPr>
        <w:t>1</w:t>
      </w:r>
    </w:p>
    <w:p>
      <w:pPr>
        <w:pStyle w:val="4"/>
        <w:spacing w:line="440" w:lineRule="exact"/>
        <w:rPr>
          <w:rFonts w:ascii="宋体" w:hAnsi="宋体" w:eastAsia="宋体" w:cs="宋体"/>
          <w:sz w:val="24"/>
          <w:szCs w:val="24"/>
        </w:rPr>
      </w:pPr>
    </w:p>
    <w:bookmarkEnd w:id="0"/>
    <w:p>
      <w:pPr>
        <w:pStyle w:val="4"/>
        <w:spacing w:line="440" w:lineRule="exact"/>
        <w:rPr>
          <w:rFonts w:hint="eastAsia" w:ascii="宋体" w:hAnsi="宋体" w:eastAsia="宋体" w:cs="宋体"/>
          <w:sz w:val="24"/>
          <w:szCs w:val="24"/>
          <w:lang w:val="en-US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1F589D"/>
    <w:rsid w:val="000012EE"/>
    <w:rsid w:val="00160FD6"/>
    <w:rsid w:val="0016135A"/>
    <w:rsid w:val="001F589D"/>
    <w:rsid w:val="00294D4E"/>
    <w:rsid w:val="002F0C61"/>
    <w:rsid w:val="00355007"/>
    <w:rsid w:val="005936EC"/>
    <w:rsid w:val="005C7250"/>
    <w:rsid w:val="00793575"/>
    <w:rsid w:val="00844481"/>
    <w:rsid w:val="008E7FED"/>
    <w:rsid w:val="00902C29"/>
    <w:rsid w:val="0095032F"/>
    <w:rsid w:val="00B07C2E"/>
    <w:rsid w:val="00B84BAC"/>
    <w:rsid w:val="00C47843"/>
    <w:rsid w:val="00C740AF"/>
    <w:rsid w:val="00D250C7"/>
    <w:rsid w:val="00E03F74"/>
    <w:rsid w:val="00E2442D"/>
    <w:rsid w:val="00EE2044"/>
    <w:rsid w:val="00F10526"/>
    <w:rsid w:val="00FB5BD7"/>
    <w:rsid w:val="18964FDE"/>
    <w:rsid w:val="19FD4A34"/>
    <w:rsid w:val="1D794E63"/>
    <w:rsid w:val="4B4357D3"/>
    <w:rsid w:val="4E86609F"/>
    <w:rsid w:val="53E2568B"/>
    <w:rsid w:val="56787E99"/>
    <w:rsid w:val="56A655CE"/>
    <w:rsid w:val="5F167A35"/>
    <w:rsid w:val="66A36E4D"/>
    <w:rsid w:val="76C64B14"/>
    <w:rsid w:val="7BDD767F"/>
    <w:rsid w:val="7B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9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0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1"/>
    <w:rPr>
      <w:sz w:val="28"/>
      <w:szCs w:val="2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0">
    <w:name w:val="标题 2 字符"/>
    <w:basedOn w:val="8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1">
    <w:name w:val="正文文本 字符"/>
    <w:basedOn w:val="8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2">
    <w:name w:val="List Paragraph"/>
    <w:basedOn w:val="1"/>
    <w:qFormat/>
    <w:uiPriority w:val="1"/>
    <w:pPr>
      <w:spacing w:before="132"/>
      <w:ind w:left="120" w:hanging="241"/>
    </w:pPr>
  </w:style>
  <w:style w:type="character" w:customStyle="1" w:styleId="13">
    <w:name w:val="页眉 字符"/>
    <w:basedOn w:val="8"/>
    <w:link w:val="6"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D356-14A2-4423-92DA-4B72573E8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1298</Words>
  <Characters>1359</Characters>
  <Lines>10</Lines>
  <Paragraphs>3</Paragraphs>
  <TotalTime>6</TotalTime>
  <ScaleCrop>false</ScaleCrop>
  <LinksUpToDate>false</LinksUpToDate>
  <CharactersWithSpaces>1390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2023-03-13T00:54:00Z</dcterms:created>
  <dc:creator>zhang Hong</dc:creator>
  <cp:lastModifiedBy>霞霞</cp:lastModifiedBy>
  <dcterms:modified xsi:type="dcterms:W3CDTF">2023-03-14T06:58:59Z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6491B33891994AF38FF58DF22D9A395A</vt:lpwstr>
  </property>
</Properties>
</file>