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2023年湖北省普通专升本考试</w:t>
      </w: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湖北中医药大学</w:t>
            </w: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申请复核科目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申请复核科目公布的考试成绩与心理预期差距较大，所以向考点申请成绩复核。（</w:t>
            </w:r>
            <w:r>
              <w:rPr>
                <w:rFonts w:hint="eastAsia"/>
                <w:color w:val="FF0000"/>
                <w:sz w:val="24"/>
              </w:rPr>
              <w:t>以上仅供参考，正式打印时请删除括号内容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C8"/>
    <w:rsid w:val="004729C8"/>
    <w:rsid w:val="00E47BE3"/>
    <w:rsid w:val="26F5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131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2023-05-18T09:00:00Z</dcterms:created>
  <dc:creator>Administrator</dc:creator>
  <cp:lastModifiedBy>若即若离的小偏执</cp:lastModifiedBy>
  <dcterms:modified xsi:type="dcterms:W3CDTF">2023-05-18T09:17:39Z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96B9F6168D584CDDBFA9CB300450D8B1_13</vt:lpwstr>
  </property>
</Properties>
</file>